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DE" w:rsidRDefault="00BA38DE" w:rsidP="00FB3105">
      <w:pPr>
        <w:suppressLineNumbers/>
        <w:suppressAutoHyphens/>
        <w:spacing w:after="0" w:line="240" w:lineRule="auto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ПРОЕКТ</w:t>
      </w:r>
    </w:p>
    <w:p w:rsidR="00FB3105" w:rsidRPr="00FB3105" w:rsidRDefault="00FB3105" w:rsidP="00FB3105">
      <w:pPr>
        <w:suppressLineNumbers/>
        <w:suppressAutoHyphens/>
        <w:spacing w:after="0" w:line="240" w:lineRule="auto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FB3105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FB310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й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д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р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ц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и я</w:t>
      </w:r>
    </w:p>
    <w:p w:rsidR="00FB3105" w:rsidRPr="00FB3105" w:rsidRDefault="00FB3105" w:rsidP="00FB310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>Иркутская область</w:t>
      </w:r>
    </w:p>
    <w:p w:rsidR="00FB3105" w:rsidRPr="00FB3105" w:rsidRDefault="00FB3105" w:rsidP="00FB310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FB3105" w:rsidRPr="00FB3105" w:rsidRDefault="00FB3105" w:rsidP="00FB310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40"/>
        </w:rPr>
      </w:pPr>
      <w:r w:rsidRPr="00FB3105">
        <w:rPr>
          <w:rFonts w:ascii="Times New Roman" w:hAnsi="Times New Roman" w:cs="Times New Roman"/>
          <w:b/>
          <w:sz w:val="32"/>
        </w:rPr>
        <w:t xml:space="preserve">Николаевское муниципальное образование </w:t>
      </w:r>
    </w:p>
    <w:p w:rsidR="00FB3105" w:rsidRPr="00FB3105" w:rsidRDefault="00FB3105" w:rsidP="00FB310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10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Pr="00FB3105">
        <w:rPr>
          <w:rFonts w:ascii="Times New Roman" w:hAnsi="Times New Roman" w:cs="Times New Roman"/>
          <w:b/>
          <w:sz w:val="32"/>
        </w:rPr>
        <w:t xml:space="preserve">Николаевского </w:t>
      </w:r>
      <w:r w:rsidRPr="00FB3105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B3105" w:rsidRPr="00FB3105" w:rsidRDefault="00FB3105" w:rsidP="00FB310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3105" w:rsidRPr="00FB3105" w:rsidRDefault="00FB3105" w:rsidP="00FB310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105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FB310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FB3105" w:rsidRPr="006616F6" w:rsidRDefault="00FB3105" w:rsidP="00FB3105">
      <w:pPr>
        <w:pBdr>
          <w:top w:val="double" w:sz="12" w:space="1" w:color="auto"/>
        </w:pBdr>
        <w:spacing w:after="0"/>
        <w:rPr>
          <w:color w:val="FF0000"/>
        </w:rPr>
      </w:pPr>
      <w:r w:rsidRPr="006616F6">
        <w:rPr>
          <w:b/>
          <w:color w:val="FF0000"/>
        </w:rPr>
        <w:t xml:space="preserve"> </w:t>
      </w:r>
    </w:p>
    <w:p w:rsidR="00215BD7" w:rsidRPr="008E3D4A" w:rsidRDefault="008E3D4A">
      <w:pPr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о</w:t>
      </w:r>
      <w:r w:rsidR="00DD2B71">
        <w:rPr>
          <w:rFonts w:ascii="Times New Roman" w:hAnsi="Times New Roman" w:cs="Times New Roman"/>
          <w:sz w:val="24"/>
          <w:szCs w:val="24"/>
        </w:rPr>
        <w:t xml:space="preserve">т </w:t>
      </w:r>
      <w:r w:rsidR="00BA38DE">
        <w:rPr>
          <w:rFonts w:ascii="Times New Roman" w:hAnsi="Times New Roman" w:cs="Times New Roman"/>
          <w:sz w:val="24"/>
          <w:szCs w:val="24"/>
        </w:rPr>
        <w:t>«____»</w:t>
      </w:r>
      <w:r w:rsidR="00FB3105" w:rsidRPr="008E3D4A">
        <w:rPr>
          <w:rFonts w:ascii="Times New Roman" w:hAnsi="Times New Roman" w:cs="Times New Roman"/>
          <w:sz w:val="24"/>
          <w:szCs w:val="24"/>
        </w:rPr>
        <w:t xml:space="preserve">  </w:t>
      </w:r>
      <w:r w:rsidR="00BA38DE">
        <w:rPr>
          <w:rFonts w:ascii="Times New Roman" w:hAnsi="Times New Roman" w:cs="Times New Roman"/>
          <w:sz w:val="24"/>
          <w:szCs w:val="24"/>
        </w:rPr>
        <w:t>___________</w:t>
      </w:r>
      <w:r w:rsidR="00FB3105" w:rsidRPr="008E3D4A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                                № </w:t>
      </w:r>
      <w:r w:rsidR="00BA38DE">
        <w:rPr>
          <w:rFonts w:ascii="Times New Roman" w:hAnsi="Times New Roman" w:cs="Times New Roman"/>
          <w:sz w:val="24"/>
          <w:szCs w:val="24"/>
        </w:rPr>
        <w:t>___</w:t>
      </w:r>
    </w:p>
    <w:p w:rsidR="008E3D4A" w:rsidRPr="008E3D4A" w:rsidRDefault="00FB3105" w:rsidP="008E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Об </w:t>
      </w:r>
      <w:r w:rsidR="008E3D4A" w:rsidRPr="008E3D4A">
        <w:rPr>
          <w:rFonts w:ascii="Times New Roman" w:hAnsi="Times New Roman" w:cs="Times New Roman"/>
          <w:sz w:val="24"/>
          <w:szCs w:val="24"/>
        </w:rPr>
        <w:t xml:space="preserve"> утверждении  Положения о порядке </w:t>
      </w:r>
      <w:proofErr w:type="gramStart"/>
      <w:r w:rsidR="008E3D4A" w:rsidRPr="008E3D4A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8E3D4A" w:rsidRPr="008E3D4A" w:rsidRDefault="008E3D4A" w:rsidP="008E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заимствований, обслуживания и управления </w:t>
      </w:r>
      <w:proofErr w:type="gramStart"/>
      <w:r w:rsidRPr="008E3D4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8E3D4A" w:rsidRPr="008E3D4A" w:rsidRDefault="008E3D4A" w:rsidP="008E3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>долгом Николаевского муниципального образования</w:t>
      </w:r>
    </w:p>
    <w:p w:rsidR="008E3D4A" w:rsidRPr="008E3D4A" w:rsidRDefault="008E3D4A" w:rsidP="008E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105" w:rsidRDefault="008E3D4A" w:rsidP="008E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D4A">
        <w:rPr>
          <w:rFonts w:ascii="Times New Roman" w:hAnsi="Times New Roman" w:cs="Times New Roman"/>
          <w:sz w:val="24"/>
          <w:szCs w:val="24"/>
        </w:rPr>
        <w:t>В целях создания условий для привлечения средств финансирования расходов Николаевского муниципального образования, на основании Бюджетного кодекса Российской Федерации, Федеральных законов от 26. 07.2006 г. № 135 –ФЗ «О защите  конкуренции», от 06.10.2003 г. № 131 –ФЗ «Об общих принципах организации  местного самоуправления в Российской Федерации»,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E3D4A">
        <w:rPr>
          <w:rFonts w:ascii="Times New Roman" w:hAnsi="Times New Roman" w:cs="Times New Roman"/>
          <w:sz w:val="24"/>
          <w:szCs w:val="24"/>
        </w:rPr>
        <w:t xml:space="preserve">  29.07.1998 г. № 136</w:t>
      </w:r>
      <w:r>
        <w:rPr>
          <w:rFonts w:ascii="Times New Roman" w:hAnsi="Times New Roman" w:cs="Times New Roman"/>
          <w:sz w:val="24"/>
          <w:szCs w:val="24"/>
        </w:rPr>
        <w:t>-ФЗ  «Об особенностях эмиссии и обращения государственных  и муниципальных ценных бумаг», от 22.04.1996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39-ФЗ «О  рынке ценных бумаг», руководствуясь ст. 38,46  Устава Николаевского муниципального образования, администрация Николаевского муниципального образования</w:t>
      </w:r>
    </w:p>
    <w:p w:rsidR="008E3D4A" w:rsidRDefault="008E3D4A" w:rsidP="008E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D4A" w:rsidRDefault="008E3D4A" w:rsidP="008E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3D4A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4504C" w:rsidRDefault="0074504C" w:rsidP="008E3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муниципальных заимствований,</w:t>
      </w:r>
      <w:r w:rsidRPr="0074504C">
        <w:rPr>
          <w:rFonts w:ascii="Times New Roman" w:hAnsi="Times New Roman" w:cs="Times New Roman"/>
          <w:sz w:val="24"/>
          <w:szCs w:val="24"/>
        </w:rPr>
        <w:t xml:space="preserve"> </w:t>
      </w:r>
      <w:r w:rsidRPr="008E3D4A">
        <w:rPr>
          <w:rFonts w:ascii="Times New Roman" w:hAnsi="Times New Roman" w:cs="Times New Roman"/>
          <w:sz w:val="24"/>
          <w:szCs w:val="24"/>
        </w:rPr>
        <w:t>обслуживания и управления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D4A">
        <w:rPr>
          <w:rFonts w:ascii="Times New Roman" w:hAnsi="Times New Roman" w:cs="Times New Roman"/>
          <w:sz w:val="24"/>
          <w:szCs w:val="24"/>
        </w:rPr>
        <w:t>долгом Николаевского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 бюллетене нормативных правовых актов  администрации Николаевского муниципального образования «Вестник Николаевского муниципального образования».</w:t>
      </w: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А.В. Вотенцев</w:t>
      </w: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4504C" w:rsidRDefault="0074504C" w:rsidP="0074504C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74504C" w:rsidRDefault="00DD2B71" w:rsidP="0074504C">
      <w:pPr>
        <w:pStyle w:val="a3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Николаевского</w:t>
      </w:r>
      <w:r w:rsidR="0074504C">
        <w:rPr>
          <w:rFonts w:ascii="Times New Roman" w:eastAsiaTheme="minorEastAsia" w:hAnsi="Times New Roman" w:cs="Times New Roman"/>
        </w:rPr>
        <w:t xml:space="preserve"> </w:t>
      </w:r>
      <w:r w:rsidR="0074504C">
        <w:rPr>
          <w:rFonts w:ascii="Times New Roman" w:hAnsi="Times New Roman" w:cs="Times New Roman"/>
        </w:rPr>
        <w:t xml:space="preserve">муниципального образования </w:t>
      </w:r>
    </w:p>
    <w:p w:rsidR="0074504C" w:rsidRDefault="00DD2B71" w:rsidP="0074504C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A38DE">
        <w:rPr>
          <w:rFonts w:ascii="Times New Roman" w:hAnsi="Times New Roman" w:cs="Times New Roman"/>
          <w:sz w:val="24"/>
          <w:szCs w:val="24"/>
        </w:rPr>
        <w:t>____</w:t>
      </w:r>
      <w:r w:rsidR="00745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8DE">
        <w:rPr>
          <w:rFonts w:ascii="Times New Roman" w:hAnsi="Times New Roman" w:cs="Times New Roman"/>
          <w:sz w:val="24"/>
          <w:szCs w:val="24"/>
        </w:rPr>
        <w:t>_________</w:t>
      </w:r>
      <w:r w:rsidR="0074504C">
        <w:rPr>
          <w:rFonts w:ascii="Times New Roman" w:hAnsi="Times New Roman" w:cs="Times New Roman"/>
          <w:sz w:val="24"/>
          <w:szCs w:val="24"/>
        </w:rPr>
        <w:t xml:space="preserve"> 2020 г.</w:t>
      </w:r>
      <w:r w:rsidR="00BA38DE" w:rsidRPr="00BA38DE">
        <w:rPr>
          <w:rFonts w:ascii="Times New Roman" w:hAnsi="Times New Roman" w:cs="Times New Roman"/>
          <w:sz w:val="24"/>
          <w:szCs w:val="24"/>
        </w:rPr>
        <w:t xml:space="preserve"> </w:t>
      </w:r>
      <w:r w:rsidR="00BA38DE">
        <w:rPr>
          <w:rFonts w:ascii="Times New Roman" w:hAnsi="Times New Roman" w:cs="Times New Roman"/>
          <w:sz w:val="24"/>
          <w:szCs w:val="24"/>
        </w:rPr>
        <w:t>№ ____</w:t>
      </w:r>
    </w:p>
    <w:p w:rsidR="0074504C" w:rsidRDefault="0074504C" w:rsidP="007450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ПОРЯДКЕ</w:t>
      </w:r>
    </w:p>
    <w:p w:rsidR="0074504C" w:rsidRDefault="0074504C" w:rsidP="00745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МУНИЦИПАЛЬНЫХ ЗАИМСТВОВАНИЙ, ОБСЛУЖИВАНИЯ И УПРАВЛЕНИЯ МУНИЦИПАЛЬНЫМ ДОЛГОМ </w:t>
      </w:r>
      <w:r w:rsidR="00DD2B71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74504C" w:rsidRDefault="0074504C" w:rsidP="007450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4504C" w:rsidRDefault="0074504C" w:rsidP="007450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Положение (далее - Порядок) разработано в соответствии с требованиями Бюджетного </w:t>
      </w:r>
      <w:hyperlink r:id="rId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кодекса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29.07.1998 г. № 136-ФЗ «Об особенностях эмиссии и обращения государственных и муниципальных ценных бумаг»,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и регулирует отношения, возникающие при осуществлении администрацией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муниципальных заимствований, определяет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порядок и виды привлечения заемных средств, полномочия администрации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при осуществлении муниципальных заимствований.</w:t>
      </w:r>
    </w:p>
    <w:p w:rsidR="00DD2B71" w:rsidRDefault="00DD2B71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МУНИЦИПАЛЬНЫЕ ЗАИМСТВОВАНИЯ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Муниципальные заимствования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(далее - муниципальные заимствования) - займы, осуществляемые путем выпуска ценных бумаг от имени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образования, и кредиты, привлекаемые в бюджет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Муниципальные заимствования осуществляются только в форме внутренних заимствований в пределах Российской Федерации в соответствии со </w:t>
      </w:r>
      <w:hyperlink r:id="rId8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103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 целью: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покрытия дефицита местного бюджета;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обеспечения финансирования расходов местного бюджета в пределах расходов на погашение муниципальных долговых обязательств.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Предельный объем муниципальных заимствований в текущем финансовом году в соответствии со </w:t>
      </w:r>
      <w:hyperlink r:id="rId9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106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соответствующего бюджета.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Муниципальные заимствования осуществляются на основании муниципальной программы внутренних заимствований.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внутренних заимствований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 очередной финансовый год в соответствии со </w:t>
      </w:r>
      <w:hyperlink r:id="rId10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110.1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представляет собой перечень внутренних заимствований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на очередной финансовый год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внутренних заимствований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на очередной финансовый год является приложением к решению Думы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о местном бюджете на очередной финансовый год.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Осуществление муниципальных внутренних заимствований, а также предоставление муниципальных гарантий другим заемщикам допускается только в случае утверждения решением Думы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 местном бюджете на очередной финансовый год следующих параметров: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предельного объема муниципального долга, который не должен превышать утвержденный общий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в соответствии со </w:t>
      </w:r>
      <w:hyperlink r:id="rId11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107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верхнего предела муниципального долга, в том числе верхнего предела муниципального долга по муниципальным гарантиям в соответствии со </w:t>
      </w:r>
      <w:hyperlink r:id="rId12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107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предельного объема выпуска муниципальных ценных бумаг в соответствии с требованиями </w:t>
      </w:r>
      <w:hyperlink r:id="rId13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статьи 114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предельного объема расходов на обслуживание муниципального долга, который не должен превышать 15% объема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 в соответствии со </w:t>
      </w:r>
      <w:hyperlink r:id="rId1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111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Федерации.</w:t>
      </w:r>
    </w:p>
    <w:p w:rsidR="00DD2B71" w:rsidRDefault="00DD2B71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ВИДЫ ДОЛГОВЫХ ОБЯЗАТЕЛЬСТВ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Долговые обязательства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(далее - долговые обязательства) в соответствии со </w:t>
      </w:r>
      <w:hyperlink r:id="rId15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100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могут существовать в виде обязательств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муниципальным ценным бумагам;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кредитам, полученным </w:t>
      </w:r>
      <w:proofErr w:type="gramStart"/>
      <w:r w:rsidR="00DD2B71">
        <w:rPr>
          <w:rFonts w:ascii="Times New Roman" w:hAnsi="Times New Roman" w:cs="Times New Roman"/>
        </w:rPr>
        <w:t>Николаевского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муниципальным образованием от кредитных организаций;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муниципальным гарантиям.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Долговые обязательства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не могут существовать в иных видах, за исключением предусмотренных настоящим пунктом.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объем муниципального долга включаются: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номинальная сумма долга по муниципальным ценным бумагам;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объем основного долга по бюджетным кредитам, привлеченным в местный бюджет;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объем основного долга по кредитам, полученным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муниципальным образованием;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объем обязательств по муниципальным гарантиям;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объем иных (за исключением указанных) непогашенных долговых обязательств муниципального образования.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Долговые обязательства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DD2B71" w:rsidRDefault="00DD2B71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ВЫПУСК МУНИЦИПАЛЬНЫХ ЦЕННЫХ БУМАГ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Муниципальными ценными бумагами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являются ценные бумаги, выпущенные от имени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(далее - муниципальные ценные бумаги). Эмитентом </w:t>
      </w:r>
      <w:r>
        <w:rPr>
          <w:rFonts w:ascii="Times New Roman" w:hAnsi="Times New Roman"/>
          <w:sz w:val="24"/>
          <w:szCs w:val="24"/>
        </w:rPr>
        <w:lastRenderedPageBreak/>
        <w:t xml:space="preserve">муниципальных ценных бумаг выступает администрация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Привлечение займов путем выпуска муниципальных ценных бумаг осуществляется в соответствии с решением Думы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о местном бюджете, а также программой муниципальных заимствований.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использования денежных средств, привлекаемых в результате размещения муниципальных ценных бумаг, утверждается решением Думы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Порядок выпуска, обращения и погашения муниципальных ценных бумаг определяется действующим законодательством Российской Федерации.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Генеральные условия эмиссии и обращения муниципальных ценных бумаг утверждаются муниципальным правовым актом администрации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Генеральные условия должны включать указание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вид ценных бумаг;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форму выпуска ценных бумаг;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срочность данного вида ценных бумаг (</w:t>
      </w:r>
      <w:proofErr w:type="gramStart"/>
      <w:r>
        <w:rPr>
          <w:rFonts w:ascii="Times New Roman" w:hAnsi="Times New Roman"/>
          <w:sz w:val="24"/>
          <w:szCs w:val="24"/>
        </w:rPr>
        <w:t>краткосрочные</w:t>
      </w:r>
      <w:proofErr w:type="gramEnd"/>
      <w:r>
        <w:rPr>
          <w:rFonts w:ascii="Times New Roman" w:hAnsi="Times New Roman"/>
          <w:sz w:val="24"/>
          <w:szCs w:val="24"/>
        </w:rPr>
        <w:t>, долгосрочные, среднесрочные);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валюту обязательств;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особенности исполнения обязательств, предусматривающих право на получение иного, чем денежные средства, имущественного эквивалента;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ограничения (при наличии таковых) </w:t>
      </w:r>
      <w:proofErr w:type="spellStart"/>
      <w:r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ценных бумаг, а также на ограничение круга лиц, которым данные ценные бумаги могут принадлежать на праве собственности или ином вещном праве.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соответствии с Генеральными условиями эмитент принимает муниципальный правовой акт, содержащий условия эмиссии и обращения муниципальных ценных бумаг (далее - условия эмиссии), включающие указание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вид ценных бумаг;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минимальный и максимальный сроки обращения данного вида муниципальных ценных бумаг. Отдельные выпуски ценных бумаг могут иметь разные сроки обращения;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номинальную стоимость одной ценной бумаги в рамках одного выпуска муниципальных ценных бумаг;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порядок размещения муниципальных ценных бумаг;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порядок осуществления прав, удостоверенных ценными бумагами;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размер дохода или порядок его расчета;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иные существенные условия эмиссии, имеющие значение для возникновения, исполнения или прекращения обязательств по муниципальным ценным бумагам.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эмиссии муниципальных ценных бумаг отражаются также другие сведения, предусмотренные действующим законодательством Российской Федерации.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Муниципальный правовой акт, содержащий условия эмиссии муниципальных ценных бумаг, подлежит государственной регистрации в уполномоченном федеральном органе исполнительной власти.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Эмитент муниципальных ценных бумаг принимает муниципальный правовой акт, содержащий отчет об итогах эмиссии муниципальных ценных бумаг.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В соответствии с Генеральными условиями и условиями эмиссии эмитент принимает решение в форме муниципального правового акта об эмиссии отдельного выпуска муниципальных ценных бумаг.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Содержание решения об эмиссии отдельного выпуска муниципальных ценных бумаг определяется действующим законодательством Российской Федерации.</w:t>
      </w:r>
    </w:p>
    <w:p w:rsidR="00DD2B71" w:rsidRDefault="00DD2B71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B71" w:rsidRDefault="00DD2B71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КРЕДИТНЫЕ СОГЛАШЕНИЯ И ДОГОВОРЫ, В ТОМ ЧИСЛЕ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ПОЛУЧЕНИИ БЮДЖЕТНЫХ КРЕДИТОВ ОТ БЮДЖЕТОВ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УРОВНЕЙ БЮДЖЕТНОЙ СИСТЕМЫ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Привлечение кредитов, в том числе бюджетных кредитов из областного бюджета, на покрытие дефицита местного бюджета, а также для погашения долговых обязательств, и заключение соответствующих кредитных соглашений и договоров осуществляется администрацией </w:t>
      </w:r>
      <w:r w:rsidR="00DD2B71">
        <w:rPr>
          <w:rFonts w:ascii="Times New Roman" w:hAnsi="Times New Roman" w:cs="Times New Roman"/>
        </w:rPr>
        <w:t>Николаевского</w:t>
      </w:r>
      <w:r w:rsidR="00DD2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в лице Главы администрации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пределах программы муниципальных заимствований.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Сроки исполнения обязательств по кредитным договорам и соглашениям о привлечении кредитных ресурсов определяются программой заимствований и условиями заимствований.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Привлечение бюджетных кредитов из областного бюджета осуществляется в порядке, установленном законом Иркутской области.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ПРЕДОСТАВЛЕНИЕ МУНИЦИПАЛЬНЫХ ГАРАНТИЙ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Муниципальная гарантия (далее - гарантия) представляет собой способ обеспечения администрации (далее также Гарант) гражданско-правовых обязательств, в силу которого </w:t>
      </w:r>
      <w:r w:rsidR="00DD2B71">
        <w:rPr>
          <w:rFonts w:ascii="Times New Roman" w:hAnsi="Times New Roman" w:cs="Times New Roman"/>
        </w:rPr>
        <w:t>Николаевское</w:t>
      </w:r>
      <w:r>
        <w:rPr>
          <w:rFonts w:ascii="Times New Roman" w:hAnsi="Times New Roman"/>
          <w:sz w:val="24"/>
          <w:szCs w:val="24"/>
        </w:rPr>
        <w:t xml:space="preserve">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Гарантия предоставляется юридическим лицам на конкурсной основе с учетом требований федерального законодательства о защите конкуренции, за исключением муниципальных унитарных предприятий (далее - получатели муниципальной гарантии), в пределах лимитов, установленных решением Думы о бюджете на соответствующий финансовый год.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Гарант несет субсидиарную ответственность дополнительно к ответственности должника по гарантированному им обязательству. </w:t>
      </w:r>
      <w:proofErr w:type="gramStart"/>
      <w:r>
        <w:rPr>
          <w:rFonts w:ascii="Times New Roman" w:hAnsi="Times New Roman"/>
          <w:sz w:val="24"/>
          <w:szCs w:val="24"/>
        </w:rPr>
        <w:t>Обязательство Гаранта перед кредиторами по гарантии ограничивается суммой основного долга в соответствии с кредитным договором или договором об открытии кредитной линии без учета уплаты процентов по кредиту, процентов по повышенной ставке, штрафов, комиссий, пени за просрочку возврата основного долга и уплаты процентов по кредитному договору либо договору об открытии кредитной линии.</w:t>
      </w:r>
      <w:proofErr w:type="gramEnd"/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Срок действия гарантии определяется сроком исполнения обязательств, по которым предоставлена гарантия.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Гарантия может быть предоставлена только тем получателям муниципальной гарантии, которые не имеют просроченной задолженности по обязательным платежам во все уровни бюджетов и внебюджетные фонды, а также по ранее предоставленным бюджетным средствам на возвратной основе.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Обязательным условием предоставления гарантии является проведение проверки финансового состояния получателя гарантии с целью подтверждения его финансовой устойчивости, в связи с чем, получатель гарантии представляет документы, предусмотренные в договоре о предоставлении гарантии.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УЧЕТ МУНИЦИПАЛЬНЫХ ЗАИМСТВОВАНИЙ.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ДОЛГОВАЯ КНИГА </w:t>
      </w:r>
      <w:proofErr w:type="gramStart"/>
      <w:r w:rsidR="00DD2B71">
        <w:rPr>
          <w:rFonts w:ascii="Times New Roman" w:hAnsi="Times New Roman"/>
          <w:sz w:val="24"/>
          <w:szCs w:val="24"/>
        </w:rPr>
        <w:t>НИКОЛАЕВСКОГО</w:t>
      </w:r>
      <w:proofErr w:type="gramEnd"/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Муниципальные заимствования в трехдневный срок с момента возникновения обязательства учитываются в муниципальной долговой книге.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Порядок ведения долговой книги определяется постановлением администрации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ПРЕКРАЩЕНИЕ ДОЛГОВЫХ ОБЯЗАТЕЛЬСТВ И ИХ СПИСАНИЕ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МУНИЦИПАЛЬНОГО ДОЛГА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 и в иных случаях, предусмотренных </w:t>
      </w:r>
      <w:hyperlink r:id="rId16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115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указанное обязательство считается полностью прекращенным и списывается с муниципального долга</w:t>
      </w:r>
      <w:proofErr w:type="gramEnd"/>
      <w:r>
        <w:rPr>
          <w:rFonts w:ascii="Times New Roman" w:hAnsi="Times New Roman"/>
          <w:sz w:val="24"/>
          <w:szCs w:val="24"/>
        </w:rPr>
        <w:t>, если иное не предусмотрено муниципальными правовыми актами.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Администрация </w:t>
      </w:r>
      <w:r w:rsidR="00DD2B71">
        <w:rPr>
          <w:rFonts w:ascii="Times New Roman" w:hAnsi="Times New Roman" w:cs="Times New Roman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истечении сроков, указанных в пункте 8.1, издает муниципальный правовой акт о списании с муниципального долга муниципальных долговых обязательств.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бюджета города.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Выпуски муниципальных ценных бумаг, выкупленные в полном объеме эмитентом в соответствии с условиями выпуска муниципальных ценных бумаг до наступления даты погашения, могут быть признаны по решению эмитента досрочно погашенными.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РЕСТРУКТУРИЗАЦИЯ ДОЛГА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Под реструктуризацией долга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Реструктуризация долга может быть осуществлена с частичным списанием (сокращением) суммы основного долга.</w:t>
      </w:r>
    </w:p>
    <w:p w:rsidR="0074504C" w:rsidRDefault="0074504C" w:rsidP="00745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 Сумма расходов на обслуживание деструктурируемого долга не включается в объем расходов на обслуживание долгового обязательства в текущем финансовом году, если указанная сумма включается в общий объем деструктурируемых обязательств.</w:t>
      </w:r>
    </w:p>
    <w:p w:rsidR="0074504C" w:rsidRDefault="0074504C" w:rsidP="0074504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04C" w:rsidRDefault="0074504C" w:rsidP="0074504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04C" w:rsidRDefault="0074504C" w:rsidP="0074504C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Pr="008E3D4A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Pr="008E3D4A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Pr="008E3D4A" w:rsidRDefault="0074504C" w:rsidP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D4A" w:rsidRPr="008E3D4A" w:rsidRDefault="008E3D4A" w:rsidP="008E3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4C" w:rsidRPr="008E3D4A" w:rsidRDefault="00745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504C" w:rsidRPr="008E3D4A" w:rsidSect="0021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105"/>
    <w:rsid w:val="00215BD7"/>
    <w:rsid w:val="0074504C"/>
    <w:rsid w:val="008E3D4A"/>
    <w:rsid w:val="00A95ED9"/>
    <w:rsid w:val="00BA38DE"/>
    <w:rsid w:val="00D503D9"/>
    <w:rsid w:val="00DD2B71"/>
    <w:rsid w:val="00FB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50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745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5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33B11525E291B494B4963A162F66BCFD80168F2A674BF3BD9280BD66289314CE956FB6DDCs3f8D" TargetMode="External"/><Relationship Id="rId13" Type="http://schemas.openxmlformats.org/officeDocument/2006/relationships/hyperlink" Target="consultantplus://offline/ref=E5933B11525E291B494B4963A162F66BCFD80168F2A674BF3BD9280BD66289314CE956FB62DAs3f9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933B11525E291B494B576EB70EAC67CFD25861F9A479EF60867356816B83660BA60FB92ED23180103C7Es5f3D" TargetMode="External"/><Relationship Id="rId12" Type="http://schemas.openxmlformats.org/officeDocument/2006/relationships/hyperlink" Target="consultantplus://offline/ref=E5933B11525E291B494B4963A162F66BCFD80168F2A674BF3BD9280BD66289314CE956FB6DD9s3f6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933B11525E291B494B4963A162F66BCFD80168F2A674BF3BD9280BD66289314CE956FB62D9s3f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933B11525E291B494B4963A162F66BC8D0016EFFAA29B533802409sDf1D" TargetMode="External"/><Relationship Id="rId11" Type="http://schemas.openxmlformats.org/officeDocument/2006/relationships/hyperlink" Target="consultantplus://offline/ref=E5933B11525E291B494B4963A162F66BCFD80168F2A674BF3BD9280BD66289314CE956FB6DD9s3f6D" TargetMode="External"/><Relationship Id="rId5" Type="http://schemas.openxmlformats.org/officeDocument/2006/relationships/hyperlink" Target="consultantplus://offline/ref=E5933B11525E291B494B4963A162F66BCFDB046BFAA274BF3BD9280BD6s6f2D" TargetMode="External"/><Relationship Id="rId15" Type="http://schemas.openxmlformats.org/officeDocument/2006/relationships/hyperlink" Target="consultantplus://offline/ref=E5933B11525E291B494B4963A162F66BCFD80168F2A674BF3BD9280BD66289314CE956FB6DDFs3f7D" TargetMode="External"/><Relationship Id="rId10" Type="http://schemas.openxmlformats.org/officeDocument/2006/relationships/hyperlink" Target="consultantplus://offline/ref=E5933B11525E291B494B4963A162F66BCFD80168F2A674BF3BD9280BD66289314CE956FB62DCs3f0D" TargetMode="External"/><Relationship Id="rId4" Type="http://schemas.openxmlformats.org/officeDocument/2006/relationships/hyperlink" Target="consultantplus://offline/ref=E5933B11525E291B494B4963A162F66BCFD80168F2A674BF3BD9280BD6s6f2D" TargetMode="External"/><Relationship Id="rId9" Type="http://schemas.openxmlformats.org/officeDocument/2006/relationships/hyperlink" Target="consultantplus://offline/ref=E5933B11525E291B494B4963A162F66BCFD80168F2A674BF3BD9280BD66289314CE956FB6DD9s3f4D" TargetMode="External"/><Relationship Id="rId14" Type="http://schemas.openxmlformats.org/officeDocument/2006/relationships/hyperlink" Target="consultantplus://offline/ref=E5933B11525E291B494B4963A162F66BCFD80168F2A674BF3BD9280BD66289314CE956FB62DBs3f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офис</cp:lastModifiedBy>
  <cp:revision>7</cp:revision>
  <cp:lastPrinted>2020-10-08T06:49:00Z</cp:lastPrinted>
  <dcterms:created xsi:type="dcterms:W3CDTF">2020-10-08T06:17:00Z</dcterms:created>
  <dcterms:modified xsi:type="dcterms:W3CDTF">2020-11-10T01:38:00Z</dcterms:modified>
</cp:coreProperties>
</file>